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Pr="00431CC8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к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участию в открытом </w:t>
      </w:r>
      <w:r w:rsidR="006B2C98">
        <w:rPr>
          <w:rFonts w:ascii="Times New Roman" w:hAnsi="Times New Roman" w:cs="Times New Roman"/>
          <w:sz w:val="24"/>
          <w:szCs w:val="24"/>
        </w:rPr>
        <w:t>двух</w:t>
      </w:r>
      <w:bookmarkStart w:id="1" w:name="_GoBack"/>
      <w:bookmarkEnd w:id="1"/>
      <w:r w:rsidR="0043233B" w:rsidRPr="00431CC8">
        <w:rPr>
          <w:rFonts w:ascii="Times New Roman" w:hAnsi="Times New Roman" w:cs="Times New Roman"/>
          <w:sz w:val="24"/>
          <w:szCs w:val="24"/>
        </w:rPr>
        <w:t xml:space="preserve">этапном тендере </w:t>
      </w:r>
      <w:r w:rsidR="00244201">
        <w:rPr>
          <w:rFonts w:ascii="Times New Roman" w:hAnsi="Times New Roman" w:cs="Times New Roman"/>
          <w:sz w:val="24"/>
          <w:szCs w:val="24"/>
        </w:rPr>
        <w:t>55</w:t>
      </w:r>
      <w:r w:rsidR="00B42034">
        <w:rPr>
          <w:rFonts w:ascii="Times New Roman" w:hAnsi="Times New Roman" w:cs="Times New Roman"/>
          <w:sz w:val="24"/>
          <w:szCs w:val="24"/>
        </w:rPr>
        <w:t>25</w:t>
      </w:r>
      <w:r w:rsidR="00244201">
        <w:rPr>
          <w:rFonts w:ascii="Times New Roman" w:hAnsi="Times New Roman" w:cs="Times New Roman"/>
          <w:sz w:val="24"/>
          <w:szCs w:val="24"/>
        </w:rPr>
        <w:t>-</w:t>
      </w:r>
      <w:r w:rsidR="00244201">
        <w:rPr>
          <w:rFonts w:ascii="Times New Roman" w:hAnsi="Times New Roman" w:cs="Times New Roman"/>
          <w:sz w:val="24"/>
          <w:szCs w:val="24"/>
          <w:lang w:val="en-US"/>
        </w:rPr>
        <w:t>PD</w:t>
      </w:r>
      <w:r w:rsidR="00244201" w:rsidRPr="00244201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B42034">
        <w:rPr>
          <w:rFonts w:ascii="Times New Roman" w:hAnsi="Times New Roman" w:cs="Times New Roman"/>
          <w:sz w:val="24"/>
          <w:szCs w:val="24"/>
        </w:rPr>
        <w:t xml:space="preserve">демонтажных и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</w:t>
      </w:r>
      <w:r w:rsidR="00431CC8" w:rsidRPr="00431CC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2034" w:rsidRPr="00B42034">
        <w:rPr>
          <w:rFonts w:ascii="Times New Roman" w:hAnsi="Times New Roman" w:cs="Times New Roman"/>
          <w:sz w:val="24"/>
          <w:szCs w:val="24"/>
        </w:rPr>
        <w:t xml:space="preserve">DBN-19-0030-2.2-23. </w:t>
      </w:r>
      <w:r w:rsidR="00B42034">
        <w:rPr>
          <w:rFonts w:ascii="Times New Roman" w:hAnsi="Times New Roman" w:cs="Times New Roman"/>
          <w:sz w:val="24"/>
          <w:szCs w:val="24"/>
        </w:rPr>
        <w:t>«</w:t>
      </w:r>
      <w:r w:rsidR="00B42034" w:rsidRPr="00B42034">
        <w:rPr>
          <w:rFonts w:ascii="Times New Roman" w:hAnsi="Times New Roman" w:cs="Times New Roman"/>
          <w:sz w:val="24"/>
          <w:szCs w:val="24"/>
        </w:rPr>
        <w:t>НПС Астраханская. Демонтаж МНС первоначального строительства и сопутствующих сооружений</w:t>
      </w:r>
      <w:r w:rsidR="00B42034">
        <w:rPr>
          <w:rFonts w:ascii="Times New Roman" w:hAnsi="Times New Roman" w:cs="Times New Roman"/>
          <w:sz w:val="24"/>
          <w:szCs w:val="24"/>
        </w:rPr>
        <w:t>»</w:t>
      </w:r>
      <w:r w:rsidR="00DA13F8" w:rsidRPr="00431CC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B42034" w:rsidP="00840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034">
        <w:rPr>
          <w:rFonts w:ascii="Times New Roman" w:hAnsi="Times New Roman" w:cs="Times New Roman"/>
          <w:sz w:val="24"/>
          <w:szCs w:val="24"/>
        </w:rPr>
        <w:t>Астраханская область, Енотаевский район, НПС «Астраханская», расположенная на 578 км нефтепровода КТК</w:t>
      </w:r>
    </w:p>
    <w:p w:rsidR="000B0D33" w:rsidRPr="00E16B1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Pr="00840AF7" w:rsidRDefault="00FB28E4" w:rsidP="00FC1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B42034">
        <w:rPr>
          <w:rFonts w:ascii="Times New Roman" w:eastAsia="Times New Roman" w:hAnsi="Times New Roman" w:cs="Times New Roman"/>
          <w:sz w:val="24"/>
          <w:szCs w:val="24"/>
        </w:rPr>
        <w:t xml:space="preserve">демонтажных и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 xml:space="preserve"> включает, не ограничиваясь, следующие виды работ:</w:t>
      </w:r>
    </w:p>
    <w:p w:rsid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 xml:space="preserve">Монтаж и последующий демонтаж </w:t>
      </w:r>
      <w:proofErr w:type="spellStart"/>
      <w:r w:rsidRPr="00B42034">
        <w:rPr>
          <w:rFonts w:ascii="Times New Roman" w:eastAsia="Times New Roman" w:hAnsi="Times New Roman" w:cs="Times New Roman"/>
          <w:sz w:val="24"/>
          <w:szCs w:val="24"/>
        </w:rPr>
        <w:t>ВЗиС</w:t>
      </w:r>
      <w:proofErr w:type="spellEnd"/>
      <w:r w:rsidRPr="00B42034">
        <w:rPr>
          <w:rFonts w:ascii="Times New Roman" w:eastAsia="Times New Roman" w:hAnsi="Times New Roman" w:cs="Times New Roman"/>
          <w:sz w:val="24"/>
          <w:szCs w:val="24"/>
        </w:rPr>
        <w:t xml:space="preserve"> на период СМР, рекультивация;</w:t>
      </w:r>
    </w:p>
    <w:p w:rsid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Организация выделенных зон категорий А1 и Б2 с применением быстровозводимых глухих ограждающих конструкций высотой не менее 2м, стойких к ветровым нагрузкам;</w:t>
      </w:r>
    </w:p>
    <w:p w:rsidR="00B42034" w:rsidRP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Демонтаж незадействованных в перекачке нефти (наружных и подземных): зданий, площадок, блоков и сооружений; технологического оборудования, агрегатов и емкостей; систем, трубопроводов и коммуникаций обеспечения;</w:t>
      </w:r>
    </w:p>
    <w:p w:rsid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Демонтаж и перенос на новое место с монтажом: здания лаборатории с наружной площадкой склада газовых баллонов (другое наименование - здание по ремонту и техническому обслуживанию средств измерения СИКН); здания склада хранения арбитражных проб;</w:t>
      </w:r>
    </w:p>
    <w:p w:rsidR="00B42034" w:rsidRP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В период останова МН / НПС подрядчику необходимо произвести работы по отключению, демонтажу, монтажу кабельных линий и оборудования СУиС и СОПГ;</w:t>
      </w:r>
    </w:p>
    <w:p w:rsidR="00B42034" w:rsidRP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Подрядчику необходимо обеспечить выполнение работ по демонтажу, пропарке и вывозу оборудования и труб на склад Заказчика для дальнейшего распределения. Предусмотреть организацию работ с привлечением оборудования и технических средств для взвешивания демонтированных МТР на поверенных весах в присутствии представителя АО «КТ</w:t>
      </w:r>
      <w:r>
        <w:rPr>
          <w:rFonts w:ascii="Times New Roman" w:eastAsia="Times New Roman" w:hAnsi="Times New Roman" w:cs="Times New Roman"/>
          <w:sz w:val="24"/>
          <w:szCs w:val="24"/>
        </w:rPr>
        <w:t>К-Р», ответственного за приемку;</w:t>
      </w:r>
    </w:p>
    <w:p w:rsidR="00B42034" w:rsidRP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Прокладку сетей водоснабжения и канализации;</w:t>
      </w:r>
    </w:p>
    <w:p w:rsidR="00B42034" w:rsidRPr="00B42034" w:rsidRDefault="00B42034" w:rsidP="00B42034">
      <w:pPr>
        <w:pStyle w:val="a3"/>
        <w:numPr>
          <w:ilvl w:val="0"/>
          <w:numId w:val="4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34">
        <w:rPr>
          <w:rFonts w:ascii="Times New Roman" w:eastAsia="Times New Roman" w:hAnsi="Times New Roman" w:cs="Times New Roman"/>
          <w:sz w:val="24"/>
          <w:szCs w:val="24"/>
        </w:rPr>
        <w:t>Планировку и благоустройство территории после демонтажа, с устройством пешеходных дорожек, обустройством обочин, укреплением отк</w:t>
      </w:r>
      <w:r>
        <w:rPr>
          <w:rFonts w:ascii="Times New Roman" w:eastAsia="Times New Roman" w:hAnsi="Times New Roman" w:cs="Times New Roman"/>
          <w:sz w:val="24"/>
          <w:szCs w:val="24"/>
        </w:rPr>
        <w:t>осов и озеленением.</w:t>
      </w:r>
    </w:p>
    <w:p w:rsidR="00E16B13" w:rsidRPr="00E16B13" w:rsidRDefault="00E16B13" w:rsidP="00E16B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E16B13" w:rsidRPr="00E16B13" w:rsidRDefault="00B42034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="00E16B13">
        <w:rPr>
          <w:rFonts w:ascii="Times New Roman" w:eastAsia="Times New Roman" w:hAnsi="Times New Roman" w:cs="Times New Roman"/>
          <w:sz w:val="24"/>
          <w:szCs w:val="24"/>
        </w:rPr>
        <w:t xml:space="preserve"> 2023 – июнь 2024</w:t>
      </w: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F1" w:rsidRDefault="00AA0EF1" w:rsidP="00D408E3">
      <w:pPr>
        <w:spacing w:before="0" w:after="0" w:line="240" w:lineRule="auto"/>
      </w:pPr>
      <w:r>
        <w:separator/>
      </w:r>
    </w:p>
  </w:endnote>
  <w:endnote w:type="continuationSeparator" w:id="0">
    <w:p w:rsidR="00AA0EF1" w:rsidRDefault="00AA0EF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2C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2C9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F1" w:rsidRDefault="00AA0EF1" w:rsidP="00D408E3">
      <w:pPr>
        <w:spacing w:before="0" w:after="0" w:line="240" w:lineRule="auto"/>
      </w:pPr>
      <w:r>
        <w:separator/>
      </w:r>
    </w:p>
  </w:footnote>
  <w:footnote w:type="continuationSeparator" w:id="0">
    <w:p w:rsidR="00AA0EF1" w:rsidRDefault="00AA0EF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33"/>
  </w:num>
  <w:num w:numId="4">
    <w:abstractNumId w:val="19"/>
  </w:num>
  <w:num w:numId="5">
    <w:abstractNumId w:val="47"/>
  </w:num>
  <w:num w:numId="6">
    <w:abstractNumId w:val="31"/>
  </w:num>
  <w:num w:numId="7">
    <w:abstractNumId w:val="27"/>
  </w:num>
  <w:num w:numId="8">
    <w:abstractNumId w:val="29"/>
  </w:num>
  <w:num w:numId="9">
    <w:abstractNumId w:val="23"/>
  </w:num>
  <w:num w:numId="10">
    <w:abstractNumId w:val="34"/>
  </w:num>
  <w:num w:numId="11">
    <w:abstractNumId w:val="24"/>
  </w:num>
  <w:num w:numId="12">
    <w:abstractNumId w:val="5"/>
  </w:num>
  <w:num w:numId="13">
    <w:abstractNumId w:val="11"/>
  </w:num>
  <w:num w:numId="14">
    <w:abstractNumId w:val="1"/>
  </w:num>
  <w:num w:numId="15">
    <w:abstractNumId w:val="17"/>
  </w:num>
  <w:num w:numId="16">
    <w:abstractNumId w:val="32"/>
  </w:num>
  <w:num w:numId="17">
    <w:abstractNumId w:val="4"/>
  </w:num>
  <w:num w:numId="18">
    <w:abstractNumId w:val="8"/>
  </w:num>
  <w:num w:numId="19">
    <w:abstractNumId w:val="21"/>
  </w:num>
  <w:num w:numId="20">
    <w:abstractNumId w:val="15"/>
  </w:num>
  <w:num w:numId="21">
    <w:abstractNumId w:val="26"/>
  </w:num>
  <w:num w:numId="22">
    <w:abstractNumId w:val="22"/>
  </w:num>
  <w:num w:numId="23">
    <w:abstractNumId w:val="38"/>
  </w:num>
  <w:num w:numId="24">
    <w:abstractNumId w:val="39"/>
  </w:num>
  <w:num w:numId="25">
    <w:abstractNumId w:val="10"/>
  </w:num>
  <w:num w:numId="26">
    <w:abstractNumId w:val="13"/>
  </w:num>
  <w:num w:numId="27">
    <w:abstractNumId w:val="43"/>
  </w:num>
  <w:num w:numId="28">
    <w:abstractNumId w:val="7"/>
  </w:num>
  <w:num w:numId="29">
    <w:abstractNumId w:val="20"/>
  </w:num>
  <w:num w:numId="30">
    <w:abstractNumId w:val="48"/>
  </w:num>
  <w:num w:numId="31">
    <w:abstractNumId w:val="12"/>
  </w:num>
  <w:num w:numId="32">
    <w:abstractNumId w:val="30"/>
  </w:num>
  <w:num w:numId="33">
    <w:abstractNumId w:val="28"/>
  </w:num>
  <w:num w:numId="34">
    <w:abstractNumId w:val="40"/>
  </w:num>
  <w:num w:numId="35">
    <w:abstractNumId w:val="18"/>
  </w:num>
  <w:num w:numId="36">
    <w:abstractNumId w:val="45"/>
  </w:num>
  <w:num w:numId="37">
    <w:abstractNumId w:val="3"/>
  </w:num>
  <w:num w:numId="38">
    <w:abstractNumId w:val="1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6"/>
  </w:num>
  <w:num w:numId="43">
    <w:abstractNumId w:val="25"/>
  </w:num>
  <w:num w:numId="44">
    <w:abstractNumId w:val="35"/>
  </w:num>
  <w:num w:numId="45">
    <w:abstractNumId w:val="41"/>
  </w:num>
  <w:num w:numId="46">
    <w:abstractNumId w:val="42"/>
  </w:num>
  <w:num w:numId="47">
    <w:abstractNumId w:val="37"/>
  </w:num>
  <w:num w:numId="48">
    <w:abstractNumId w:val="2"/>
  </w:num>
  <w:num w:numId="49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2C98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2034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BD8D1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EC219EC-CDC3-4041-A274-FB28C09D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Khar0609</cp:lastModifiedBy>
  <cp:revision>29</cp:revision>
  <cp:lastPrinted>2017-11-24T11:20:00Z</cp:lastPrinted>
  <dcterms:created xsi:type="dcterms:W3CDTF">2022-12-14T08:18:00Z</dcterms:created>
  <dcterms:modified xsi:type="dcterms:W3CDTF">2023-02-28T13:17:00Z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